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附件3.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3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highlight w:val="none"/>
                <w:u w:val="none"/>
                <w:lang w:val="en-US" w:eastAsia="zh-CN" w:bidi="ar"/>
              </w:rPr>
              <w:t>珠江片区四涌半406号田、407号田、407号田东1、2号地块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</w:rPr>
              <w:t>珠江片区四涌半406号田、407号田、407号田东1、2号地块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注册资金是否500万以上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具有丰富的水产养殖经营经验，管理养殖面积200亩（及以上），（以合作养殖协议等，足以证明投标单位实际水产养殖管理面积的文件为据，文件至少2022年1月1日前至报名截止日有效）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该地块养殖方案（养殖品种，养殖面积等要求）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B2CE5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5B2CE5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2023-12-29T06:44:00Z</dcterms:created>
  <dc:creator>系统管理员</dc:creator>
  <cp:lastModifiedBy>系统管理员</cp:lastModifiedBy>
  <dcterms:modified xsi:type="dcterms:W3CDTF">2023-12-29T06:44:30Z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8323E6D1F8E14B6A93A5CB2A7263D3BF</vt:lpwstr>
  </property>
</Properties>
</file>