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仿宋" w:hAnsi="仿宋" w:eastAsia="仿宋" w:cs="仿宋"/>
          <w:sz w:val="28"/>
          <w:szCs w:val="28"/>
          <w:highlight w:val="none"/>
        </w:rPr>
      </w:pPr>
      <w:bookmarkStart w:id="0" w:name="_GoBack"/>
      <w:bookmarkEnd w:id="0"/>
      <w:r>
        <w:rPr>
          <w:rFonts w:hint="eastAsia" w:ascii="仿宋" w:hAnsi="仿宋" w:eastAsia="仿宋" w:cs="仿宋"/>
          <w:b/>
          <w:sz w:val="28"/>
          <w:szCs w:val="28"/>
          <w:highlight w:val="none"/>
        </w:rPr>
        <w:t>农 用 地 租 赁 合 同（耕地类）</w:t>
      </w:r>
    </w:p>
    <w:p>
      <w:pPr>
        <w:wordWrap w:val="0"/>
        <w:spacing w:line="360" w:lineRule="auto"/>
        <w:ind w:right="1120"/>
        <w:jc w:val="righ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lang w:val="en-US" w:eastAsia="zh-CN"/>
        </w:rPr>
        <w:t>组织机构代码（身份证号码）</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住址</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一、出租耕地基本情况</w:t>
      </w:r>
    </w:p>
    <w:p>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 xml:space="preserve"> （详见附件附图） </w:t>
      </w:r>
      <w:r>
        <w:rPr>
          <w:rFonts w:hint="eastAsia" w:ascii="仿宋" w:hAnsi="仿宋" w:eastAsia="仿宋" w:cs="仿宋"/>
          <w:sz w:val="28"/>
          <w:szCs w:val="28"/>
          <w:highlight w:val="none"/>
        </w:rPr>
        <w:t>。</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7"/>
        <w:gridCol w:w="2092"/>
        <w:gridCol w:w="2091"/>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080" w:type="dxa"/>
            <w:gridSpan w:val="4"/>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092"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091"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50"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p>
        </w:tc>
        <w:tc>
          <w:tcPr>
            <w:tcW w:w="2092" w:type="dxa"/>
            <w:noWrap w:val="0"/>
            <w:vAlign w:val="center"/>
          </w:tcPr>
          <w:p>
            <w:pPr>
              <w:spacing w:line="540" w:lineRule="exact"/>
              <w:jc w:val="center"/>
              <w:rPr>
                <w:rFonts w:hint="eastAsia" w:ascii="仿宋" w:hAnsi="仿宋" w:eastAsia="仿宋" w:cs="仿宋"/>
                <w:sz w:val="28"/>
                <w:szCs w:val="28"/>
                <w:highlight w:val="none"/>
              </w:rPr>
            </w:pPr>
          </w:p>
        </w:tc>
        <w:tc>
          <w:tcPr>
            <w:tcW w:w="2091" w:type="dxa"/>
            <w:noWrap w:val="0"/>
            <w:vAlign w:val="center"/>
          </w:tcPr>
          <w:p>
            <w:pPr>
              <w:spacing w:line="540" w:lineRule="exact"/>
              <w:jc w:val="center"/>
              <w:rPr>
                <w:rFonts w:hint="eastAsia" w:ascii="仿宋" w:hAnsi="仿宋" w:eastAsia="仿宋" w:cs="仿宋"/>
                <w:sz w:val="28"/>
                <w:szCs w:val="28"/>
                <w:highlight w:val="none"/>
              </w:rPr>
            </w:pPr>
          </w:p>
        </w:tc>
        <w:tc>
          <w:tcPr>
            <w:tcW w:w="1950" w:type="dxa"/>
            <w:noWrap w:val="0"/>
            <w:vAlign w:val="center"/>
          </w:tcPr>
          <w:p>
            <w:pPr>
              <w:spacing w:line="540" w:lineRule="exact"/>
              <w:jc w:val="center"/>
              <w:rPr>
                <w:rFonts w:hint="eastAsia" w:ascii="仿宋" w:hAnsi="仿宋" w:eastAsia="仿宋" w:cs="仿宋"/>
                <w:sz w:val="28"/>
                <w:szCs w:val="28"/>
                <w:highlight w:val="none"/>
              </w:rPr>
            </w:pPr>
          </w:p>
        </w:tc>
      </w:tr>
    </w:tbl>
    <w:p>
      <w:pPr>
        <w:spacing w:line="360" w:lineRule="auto"/>
        <w:ind w:firstLine="600"/>
        <w:rPr>
          <w:rFonts w:hint="eastAsia" w:ascii="仿宋" w:hAnsi="仿宋" w:eastAsia="仿宋" w:cs="仿宋"/>
          <w:color w:val="FF0000"/>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面积：</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亩</w:t>
      </w:r>
      <w:r>
        <w:rPr>
          <w:rFonts w:hint="eastAsia" w:ascii="仿宋" w:hAnsi="仿宋" w:eastAsia="仿宋" w:cs="仿宋"/>
          <w:sz w:val="28"/>
          <w:szCs w:val="28"/>
          <w:highlight w:val="none"/>
        </w:rPr>
        <w:t>（不包括：运输机耕路及水窦水面面积，详见附件附图。）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.该</w:t>
      </w:r>
      <w:r>
        <w:rPr>
          <w:rFonts w:hint="eastAsia" w:ascii="仿宋" w:hAnsi="仿宋" w:eastAsia="仿宋" w:cs="仿宋"/>
          <w:sz w:val="28"/>
          <w:szCs w:val="28"/>
          <w:highlight w:val="none"/>
        </w:rPr>
        <w:t>耕地只能用于</w:t>
      </w:r>
      <w:r>
        <w:rPr>
          <w:rFonts w:hint="eastAsia" w:ascii="仿宋" w:hAnsi="仿宋" w:eastAsia="仿宋" w:cs="仿宋"/>
          <w:sz w:val="28"/>
          <w:szCs w:val="28"/>
          <w:highlight w:val="none"/>
          <w:u w:val="single"/>
          <w:lang w:val="en-US" w:eastAsia="zh-CN"/>
        </w:rPr>
        <w:t xml:space="preserve"> 种植业务 </w:t>
      </w:r>
      <w:r>
        <w:rPr>
          <w:rFonts w:hint="eastAsia" w:ascii="仿宋" w:hAnsi="仿宋" w:eastAsia="仿宋" w:cs="仿宋"/>
          <w:sz w:val="28"/>
          <w:szCs w:val="28"/>
          <w:highlight w:val="none"/>
        </w:rPr>
        <w:t>，不能改变耕地用途和功能，乙方不能用作买卖、拍卖或抵押。耕地排灌情况乙方已经了解，并愿意承租，乙方承诺不向甲方追究因排灌问题而造成的任何损失。</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2023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2029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2023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2025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w:t>
      </w:r>
      <w:r>
        <w:rPr>
          <w:rFonts w:hint="eastAsia" w:ascii="仿宋" w:hAnsi="仿宋" w:eastAsia="仿宋" w:cs="仿宋"/>
          <w:sz w:val="28"/>
          <w:szCs w:val="28"/>
          <w:highlight w:val="none"/>
          <w:lang w:val="en-US" w:eastAsia="zh-CN"/>
        </w:rPr>
        <w:t>两</w:t>
      </w:r>
      <w:r>
        <w:rPr>
          <w:rFonts w:hint="eastAsia" w:ascii="仿宋" w:hAnsi="仿宋" w:eastAsia="仿宋" w:cs="仿宋"/>
          <w:sz w:val="28"/>
          <w:szCs w:val="28"/>
          <w:highlight w:val="none"/>
        </w:rPr>
        <w:t>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2025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2027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2027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2029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四、耕地租金的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widowControl/>
        <w:spacing w:line="360" w:lineRule="auto"/>
        <w:ind w:firstLine="560" w:firstLineChars="200"/>
        <w:jc w:val="left"/>
        <w:rPr>
          <w:rFonts w:hint="eastAsia" w:ascii="仿宋_GB2312" w:hAnsi="仿宋_GB2312" w:eastAsia="仿宋_GB2312" w:cs="仿宋_GB2312"/>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此后每一合同年的租金，乙方必须在上一合同年结束前10日内一次性付清给甲方。如乙方逾期支付，属于乙方违约，</w:t>
      </w:r>
      <w:r>
        <w:rPr>
          <w:rFonts w:hint="eastAsia" w:ascii="仿宋_GB2312" w:hAnsi="仿宋_GB2312" w:eastAsia="仿宋_GB2312" w:cs="仿宋_GB2312"/>
          <w:kern w:val="0"/>
          <w:sz w:val="28"/>
          <w:szCs w:val="28"/>
        </w:rPr>
        <w:t>甲方</w:t>
      </w:r>
      <w:r>
        <w:rPr>
          <w:rFonts w:hint="eastAsia" w:ascii="仿宋_GB2312" w:hAnsi="仿宋_GB2312" w:eastAsia="仿宋_GB2312" w:cs="仿宋_GB2312"/>
          <w:sz w:val="28"/>
          <w:szCs w:val="28"/>
        </w:rPr>
        <w:t>有权自乙方逾期付款之日起</w:t>
      </w:r>
      <w:r>
        <w:rPr>
          <w:rFonts w:hint="eastAsia" w:ascii="仿宋_GB2312" w:hAnsi="仿宋_GB2312" w:eastAsia="仿宋_GB2312" w:cs="仿宋_GB2312"/>
          <w:kern w:val="0"/>
          <w:sz w:val="28"/>
          <w:szCs w:val="28"/>
        </w:rPr>
        <w:t>每</w:t>
      </w:r>
      <w:r>
        <w:rPr>
          <w:rFonts w:hint="eastAsia" w:ascii="仿宋_GB2312" w:hAnsi="仿宋_GB2312" w:eastAsia="仿宋_GB2312" w:cs="仿宋_GB2312"/>
          <w:kern w:val="0"/>
          <w:sz w:val="28"/>
          <w:szCs w:val="28"/>
          <w:lang w:val="en-US" w:eastAsia="zh-CN"/>
        </w:rPr>
        <w:t>日</w:t>
      </w:r>
      <w:r>
        <w:rPr>
          <w:rFonts w:hint="eastAsia" w:ascii="仿宋_GB2312" w:hAnsi="仿宋_GB2312" w:eastAsia="仿宋_GB2312" w:cs="仿宋_GB2312"/>
          <w:kern w:val="0"/>
          <w:sz w:val="28"/>
          <w:szCs w:val="28"/>
        </w:rPr>
        <w:t>按欠款额的</w:t>
      </w:r>
      <w:r>
        <w:rPr>
          <w:rFonts w:hint="eastAsia" w:ascii="仿宋_GB2312" w:hAnsi="仿宋_GB2312" w:eastAsia="仿宋_GB2312" w:cs="仿宋_GB2312"/>
          <w:kern w:val="0"/>
          <w:sz w:val="28"/>
          <w:szCs w:val="28"/>
          <w:lang w:val="en-US" w:eastAsia="zh-CN"/>
        </w:rPr>
        <w:t>1</w:t>
      </w:r>
      <w:r>
        <w:rPr>
          <w:rFonts w:hint="eastAsia" w:ascii="仿宋_GB2312" w:hAnsi="仿宋_GB2312" w:eastAsia="仿宋_GB2312" w:cs="仿宋_GB2312"/>
          <w:kern w:val="0"/>
          <w:sz w:val="28"/>
          <w:szCs w:val="28"/>
        </w:rPr>
        <w:t>‰计收</w:t>
      </w:r>
      <w:r>
        <w:rPr>
          <w:rFonts w:hint="eastAsia" w:ascii="仿宋_GB2312" w:hAnsi="仿宋_GB2312" w:eastAsia="仿宋_GB2312" w:cs="仿宋_GB2312"/>
          <w:kern w:val="0"/>
          <w:sz w:val="28"/>
          <w:szCs w:val="28"/>
          <w:lang w:val="en-US" w:eastAsia="zh-CN"/>
        </w:rPr>
        <w:t>逾期付款违约</w:t>
      </w:r>
      <w:r>
        <w:rPr>
          <w:rFonts w:hint="eastAsia" w:ascii="仿宋_GB2312" w:hAnsi="仿宋_GB2312" w:eastAsia="仿宋_GB2312" w:cs="仿宋_GB2312"/>
          <w:kern w:val="0"/>
          <w:sz w:val="28"/>
          <w:szCs w:val="28"/>
        </w:rPr>
        <w:t>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的，甲方有权单方解除合同，没收履约保证金，无条件收回耕地另行处置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_GB2312" w:hAnsi="仿宋_GB2312" w:eastAsia="仿宋_GB2312" w:cs="仿宋_GB2312"/>
          <w:kern w:val="0"/>
          <w:sz w:val="28"/>
          <w:szCs w:val="28"/>
        </w:rPr>
        <w:t>向乙方追收应交的租金、</w:t>
      </w:r>
      <w:r>
        <w:rPr>
          <w:rFonts w:hint="eastAsia" w:ascii="仿宋_GB2312" w:hAnsi="仿宋_GB2312" w:eastAsia="仿宋_GB2312" w:cs="仿宋_GB2312"/>
          <w:kern w:val="0"/>
          <w:sz w:val="28"/>
          <w:szCs w:val="28"/>
          <w:lang w:val="en-US" w:eastAsia="zh-CN"/>
        </w:rPr>
        <w:t>违约金</w:t>
      </w:r>
      <w:r>
        <w:rPr>
          <w:rFonts w:hint="eastAsia" w:ascii="仿宋_GB2312" w:hAnsi="仿宋_GB2312" w:eastAsia="仿宋_GB2312" w:cs="仿宋_GB2312"/>
          <w:kern w:val="0"/>
          <w:sz w:val="28"/>
          <w:szCs w:val="28"/>
        </w:rPr>
        <w:t>以及甲方的其他一切损失。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五、履约保证金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z w:val="28"/>
          <w:szCs w:val="28"/>
          <w:highlight w:val="none"/>
        </w:rPr>
        <w:t>为了保证乙方严格履行本合同，乙方应在签订本合同后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500.00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元/亩的标准向甲方一次性缴纳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）的履约保证金。甲方待合同履行期满且乙方无违约行为的情况下不计息退还给乙方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w:t>
      </w:r>
      <w:r>
        <w:rPr>
          <w:rFonts w:hint="eastAsia" w:ascii="仿宋" w:hAnsi="仿宋" w:eastAsia="仿宋" w:cs="仿宋"/>
          <w:sz w:val="28"/>
          <w:szCs w:val="28"/>
          <w:highlight w:val="none"/>
        </w:rPr>
        <w:t>解除本合同，</w:t>
      </w:r>
      <w:r>
        <w:rPr>
          <w:rFonts w:hint="eastAsia" w:ascii="仿宋" w:hAnsi="仿宋" w:eastAsia="仿宋" w:cs="仿宋"/>
          <w:sz w:val="28"/>
          <w:szCs w:val="28"/>
          <w:highlight w:val="none"/>
          <w:lang w:val="en-US" w:eastAsia="zh-CN"/>
        </w:rPr>
        <w:t>并有权</w:t>
      </w:r>
      <w:r>
        <w:rPr>
          <w:rFonts w:hint="eastAsia" w:ascii="仿宋" w:hAnsi="仿宋" w:eastAsia="仿宋" w:cs="仿宋"/>
          <w:sz w:val="28"/>
          <w:szCs w:val="28"/>
          <w:highlight w:val="none"/>
        </w:rPr>
        <w:t>将本合同所涉及的耕地另行处置。</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经甲方书面同意，乙方向有关部门办理申请审批手续后，乙方可在租赁耕地范围内建设安装水、电、道路、排灌等配套设施，乙方应负责依法报批、建设、管理及维护工作。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乙方要依照我国相关法律法规及有关政策对耕地进行合理的开发使用，加强耕地的改良和整治，确保耕地质量不低于原有标准，保持耕地的地形、地貌，不得改变耕地性质</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如乙方基于耕地的改良，需要筑基种植莲藕等水生作物的，须经得甲方书面同意</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乙方如需在所租赁耕地上进行畜禽养殖，必须征得甲方书面同意并报甲方备案，甲方同意后，乙方需自行向有关部门办理有关证照手续。</w:t>
      </w:r>
    </w:p>
    <w:p>
      <w:pPr>
        <w:numPr>
          <w:ilvl w:val="-1"/>
          <w:numId w:val="0"/>
        </w:numPr>
        <w:tabs>
          <w:tab w:val="left" w:pos="7560"/>
        </w:tabs>
        <w:spacing w:line="500" w:lineRule="auto"/>
        <w:ind w:firstLine="640" w:firstLineChars="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w:t>
      </w:r>
      <w:r>
        <w:rPr>
          <w:rFonts w:hint="eastAsia" w:ascii="仿宋" w:hAnsi="仿宋" w:eastAsia="仿宋" w:cs="仿宋"/>
          <w:sz w:val="28"/>
          <w:szCs w:val="28"/>
          <w:highlight w:val="none"/>
          <w:lang w:val="en-US" w:eastAsia="zh-CN"/>
        </w:rPr>
        <w:t>种</w:t>
      </w:r>
      <w:r>
        <w:rPr>
          <w:rFonts w:hint="eastAsia" w:ascii="仿宋" w:hAnsi="仿宋" w:eastAsia="仿宋" w:cs="仿宋"/>
          <w:sz w:val="28"/>
          <w:szCs w:val="28"/>
          <w:highlight w:val="none"/>
        </w:rPr>
        <w:t>殖种类，自行做好相关生产的安排及计划，确保在合同期限届满时如期将</w:t>
      </w:r>
      <w:r>
        <w:rPr>
          <w:rFonts w:hint="eastAsia" w:ascii="仿宋" w:hAnsi="仿宋" w:eastAsia="仿宋" w:cs="仿宋"/>
          <w:sz w:val="28"/>
          <w:szCs w:val="28"/>
          <w:highlight w:val="none"/>
          <w:lang w:val="en-US" w:eastAsia="zh-CN"/>
        </w:rPr>
        <w:t>耕地</w:t>
      </w:r>
      <w:r>
        <w:rPr>
          <w:rFonts w:hint="eastAsia" w:ascii="仿宋" w:hAnsi="仿宋" w:eastAsia="仿宋" w:cs="仿宋"/>
          <w:sz w:val="28"/>
          <w:szCs w:val="28"/>
          <w:highlight w:val="none"/>
        </w:rPr>
        <w:t>交还甲方。</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10.合同期内，乙方不得擅自将耕地的全部或部分转租或提供给他人使用。如因特殊情况需要转租的，须经甲方书面同意。</w:t>
      </w:r>
    </w:p>
    <w:p>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乙方须监管所租赁耕地的公共设施（如道路、排灌、电力等），并积极做好日常管理工作。合同期内公共设施由甲、乙双方共同使用。</w:t>
      </w:r>
    </w:p>
    <w:p>
      <w:pPr>
        <w:numPr>
          <w:ilvl w:val="-1"/>
          <w:numId w:val="0"/>
        </w:numPr>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乙方不得以自然灾害受损为由拒交租金。</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14.</w:t>
      </w:r>
      <w:r>
        <w:rPr>
          <w:rFonts w:hint="eastAsia" w:ascii="仿宋" w:hAnsi="仿宋" w:eastAsia="仿宋" w:cs="仿宋"/>
          <w:sz w:val="28"/>
          <w:szCs w:val="28"/>
          <w:highlight w:val="none"/>
        </w:rPr>
        <w:t>乙方应按合同约定的用途使用耕地，未经甲方书面同意不得挪作他用，且不得闲置、丢荒。</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15.</w:t>
      </w:r>
      <w:r>
        <w:rPr>
          <w:rFonts w:hint="eastAsia" w:ascii="仿宋" w:hAnsi="仿宋" w:eastAsia="仿宋" w:cs="仿宋"/>
          <w:sz w:val="28"/>
          <w:szCs w:val="28"/>
          <w:highlight w:val="none"/>
        </w:rPr>
        <w:t>合同期内，如乙方给耕地造成损害的，乙方应自行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并承担修复费用。如乙方给耕地造成永久性损害的，乙方应承担全部赔偿责任</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如乙方对耕地的损害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如因乙方给耕地造成损害导致有关自然人、部门、组织对甲方提起相关诉讼或行政处罚的，乙方应承担相关赔款和罚款，如甲方先行垫付的，有权向乙方全额追索，由此造成的费用（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16.</w:t>
      </w:r>
      <w:r>
        <w:rPr>
          <w:rFonts w:hint="eastAsia" w:ascii="仿宋" w:hAnsi="仿宋" w:eastAsia="仿宋" w:cs="仿宋"/>
          <w:sz w:val="28"/>
          <w:szCs w:val="28"/>
          <w:highlight w:val="none"/>
        </w:rPr>
        <w:t>乙方必须服从甲方的农田标准化改造规划和安排，配合甲方对所租赁耕地进行农田标准化建设。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在合同期满或合同解除时，甲方无须通知乙方，乙方须清场并交回耕地给甲方，并由甲方工作人员验收。</w:t>
      </w:r>
    </w:p>
    <w:p>
      <w:pPr>
        <w:spacing w:line="360" w:lineRule="auto"/>
        <w:ind w:firstLine="600"/>
        <w:jc w:val="left"/>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清场交回耕地的，视为乙方放弃耕地上的相关农作物及设施等的所有权，甲方有权处置，甲方可自行采取强制清场措施收回耕地另行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此外，乙方应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（1）乙方不得使用水产养殖</w:t>
      </w:r>
      <w:r>
        <w:rPr>
          <w:rFonts w:hint="eastAsia" w:ascii="仿宋" w:hAnsi="仿宋" w:eastAsia="仿宋" w:cs="仿宋"/>
          <w:sz w:val="28"/>
          <w:szCs w:val="28"/>
          <w:highlight w:val="none"/>
          <w:lang w:val="en-US" w:eastAsia="zh-CN"/>
        </w:rPr>
        <w:t>及</w:t>
      </w:r>
      <w:r>
        <w:rPr>
          <w:rFonts w:hint="eastAsia" w:ascii="仿宋" w:hAnsi="仿宋" w:eastAsia="仿宋" w:cs="仿宋"/>
          <w:sz w:val="28"/>
          <w:szCs w:val="28"/>
          <w:highlight w:val="none"/>
        </w:rPr>
        <w:t>其它种养禁用的药物及农药，经监管部门或其授权的单位检测质量不合格产品，</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应无条件销毁</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2）乙方的种植、养殖等生产活动中不得对耕地及周边区域和居民生活区造成环境污染。</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（1）未经甲方同意，擅自土地改变性质和用途</w:t>
      </w:r>
      <w:r>
        <w:rPr>
          <w:rFonts w:hint="eastAsia" w:ascii="仿宋" w:hAnsi="仿宋" w:eastAsia="仿宋" w:cs="仿宋"/>
          <w:sz w:val="28"/>
          <w:szCs w:val="28"/>
          <w:highlight w:val="none"/>
        </w:rPr>
        <w:t>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（4）未经甲方</w:t>
      </w:r>
      <w:r>
        <w:rPr>
          <w:rFonts w:hint="eastAsia" w:ascii="仿宋" w:hAnsi="仿宋" w:eastAsia="仿宋" w:cs="仿宋"/>
          <w:sz w:val="28"/>
          <w:szCs w:val="28"/>
          <w:highlight w:val="none"/>
        </w:rPr>
        <w:t>书面同意擅自将耕地的全部或部分转租或提供给他人使用的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（7）乙方给耕地造成损害未及时修复或给耕地造成永久性损害的；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配合甲方对所租赁耕地进行农田标准化建设</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pStyle w:val="5"/>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甲方应配合政府职能部门做好租赁耕地外围水利堤坝的建设、管理和维护工作，乙方应给予相应的配合。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甲方应指导、监督、纠正乙方在生产经营过程中可能损害水利设施和公共利益的一切行为。</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合同期满，租赁范围的用水、用电、道路等基础设施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耕地的，甲方应提前15</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未按退场通知交还耕地的，属于违约，甲方有权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无条件收回耕地，并向乙方追偿甲方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2.乙方在收到甲方通知后30日内仍不退场交地的，</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乙方未经合法手续擅自搭建的设施</w:t>
      </w:r>
      <w:r>
        <w:rPr>
          <w:rFonts w:hint="eastAsia" w:ascii="仿宋" w:hAnsi="仿宋" w:eastAsia="仿宋" w:cs="仿宋"/>
          <w:sz w:val="28"/>
          <w:szCs w:val="28"/>
          <w:highlight w:val="none"/>
          <w:lang w:val="en-US" w:eastAsia="zh-CN"/>
        </w:rPr>
        <w:t>、设备</w:t>
      </w:r>
      <w:r>
        <w:rPr>
          <w:rFonts w:hint="eastAsia" w:ascii="仿宋" w:hAnsi="仿宋" w:eastAsia="仿宋" w:cs="仿宋"/>
          <w:sz w:val="28"/>
          <w:szCs w:val="28"/>
          <w:highlight w:val="none"/>
        </w:rPr>
        <w:t>，以及非乙方出资建设的设施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，乙方无权要求补偿。</w:t>
      </w:r>
      <w:r>
        <w:rPr>
          <w:rFonts w:hint="eastAsia" w:ascii="仿宋" w:hAnsi="仿宋" w:eastAsia="仿宋" w:cs="仿宋"/>
          <w:kern w:val="0"/>
          <w:sz w:val="28"/>
          <w:szCs w:val="28"/>
          <w:u w:val="single"/>
        </w:rPr>
        <w:t>租赁期内如遇政府征收补偿，</w:t>
      </w:r>
      <w:r>
        <w:rPr>
          <w:rFonts w:hint="eastAsia" w:ascii="仿宋" w:hAnsi="仿宋" w:eastAsia="仿宋" w:cs="仿宋"/>
          <w:sz w:val="28"/>
          <w:szCs w:val="28"/>
          <w:u w:val="single"/>
        </w:rPr>
        <w:t>租赁红线范围外面积的青苗及地上附着物补偿款归</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 xml:space="preserve">方所有，租赁红线范围内面积的青苗及地上附着物补偿款按如下规定执行： </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（1）项目用地红线范围内基础设施补偿归</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所有；</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（2）项目用地红线内青苗及地上附着物补偿费（含奖励费），</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和</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各收取50%；项目用地红线范围外，受影响鱼塘青苗及地上附着物补偿由</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方收取；</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u w:val="single"/>
        </w:rPr>
        <w:t>（3）高压线路征收，线行影响用地青苗补偿，</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方和</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方各收取50%。</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color w:val="000000"/>
          <w:sz w:val="28"/>
          <w:szCs w:val="28"/>
          <w:highlight w:val="none"/>
        </w:rPr>
        <w:t>，均由违约方承担。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 xml:space="preserve"> 通知与送达</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甲方再次确认的送达地址为：广州市南沙区珠江街新广五路英豪街1号</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val="en-US" w:eastAsia="zh-CN"/>
        </w:rPr>
        <w:t>农业农村</w:t>
      </w:r>
      <w:r>
        <w:rPr>
          <w:rFonts w:hint="eastAsia" w:ascii="仿宋" w:hAnsi="仿宋" w:eastAsia="仿宋" w:cs="仿宋"/>
          <w:sz w:val="28"/>
          <w:szCs w:val="28"/>
          <w:highlight w:val="none"/>
        </w:rPr>
        <w:t>局留存壹份备案，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spacing w:line="360" w:lineRule="auto"/>
        <w:ind w:firstLine="570"/>
        <w:jc w:val="left"/>
        <w:rPr>
          <w:rFonts w:hint="eastAsia" w:ascii="仿宋" w:hAnsi="仿宋" w:eastAsia="仿宋" w:cs="仿宋"/>
          <w:b/>
          <w:color w:val="000000"/>
          <w:sz w:val="28"/>
          <w:szCs w:val="28"/>
          <w:highlight w:val="none"/>
        </w:rPr>
      </w:pPr>
      <w:r>
        <w:rPr>
          <w:rFonts w:hint="eastAsia" w:ascii="仿宋" w:hAnsi="仿宋" w:eastAsia="仿宋" w:cs="仿宋"/>
          <w:color w:val="000000"/>
          <w:sz w:val="28"/>
          <w:szCs w:val="28"/>
          <w:highlight w:val="none"/>
        </w:rPr>
        <w:t>十五</w:t>
      </w:r>
      <w:r>
        <w:rPr>
          <w:rFonts w:hint="eastAsia" w:ascii="仿宋" w:hAnsi="仿宋" w:eastAsia="仿宋" w:cs="仿宋"/>
          <w:b/>
          <w:color w:val="000000"/>
          <w:sz w:val="28"/>
          <w:szCs w:val="28"/>
          <w:highlight w:val="none"/>
        </w:rPr>
        <w:t xml:space="preserve">、 </w:t>
      </w:r>
      <w:r>
        <w:rPr>
          <w:rFonts w:hint="eastAsia" w:ascii="仿宋" w:hAnsi="仿宋" w:eastAsia="仿宋" w:cs="仿宋"/>
          <w:color w:val="000000"/>
          <w:sz w:val="28"/>
          <w:szCs w:val="28"/>
          <w:highlight w:val="none"/>
        </w:rPr>
        <w:t>提示</w:t>
      </w:r>
    </w:p>
    <w:p>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授权代表（签名）：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授权代表（签名）：</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账号：                              联系电话：       </w:t>
      </w:r>
    </w:p>
    <w:p>
      <w:pPr>
        <w:spacing w:line="360" w:lineRule="auto"/>
        <w:ind w:firstLine="0"/>
        <w:rPr>
          <w:rFonts w:hint="eastAsia" w:ascii="仿宋" w:hAnsi="仿宋" w:eastAsia="仿宋" w:cs="仿宋"/>
          <w:sz w:val="28"/>
          <w:szCs w:val="28"/>
          <w:highlight w:val="none"/>
          <w:lang w:val="en-US" w:eastAsia="zh-CN"/>
        </w:rPr>
      </w:pPr>
    </w:p>
    <w:p>
      <w:pPr>
        <w:spacing w:line="360" w:lineRule="auto"/>
        <w:ind w:firstLine="135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合同签订日期：       年    月    日 </w:t>
      </w:r>
    </w:p>
    <w:p>
      <w:pPr>
        <w:spacing w:line="360" w:lineRule="auto"/>
        <w:jc w:val="left"/>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pPr>
        <w:numPr>
          <w:ilvl w:val="0"/>
          <w:numId w:val="1"/>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承租人身份证复印件</w:t>
      </w:r>
    </w:p>
    <w:p>
      <w:pPr>
        <w:numPr>
          <w:ilvl w:val="0"/>
          <w:numId w:val="1"/>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土地交接记录表</w:t>
      </w:r>
    </w:p>
    <w:p>
      <w:pPr>
        <w:pStyle w:val="2"/>
        <w:ind w:firstLine="840" w:firstLineChars="300"/>
        <w:rPr>
          <w:rFonts w:hint="default"/>
          <w:lang w:val="en-US" w:eastAsia="zh-CN"/>
        </w:rPr>
      </w:pPr>
      <w:r>
        <w:rPr>
          <w:rFonts w:hint="eastAsia" w:ascii="仿宋" w:hAnsi="仿宋" w:eastAsia="仿宋" w:cs="仿宋"/>
          <w:sz w:val="28"/>
          <w:szCs w:val="28"/>
          <w:highlight w:val="none"/>
          <w:lang w:val="en-US" w:eastAsia="zh-CN"/>
        </w:rPr>
        <w:t>4.安全生产责任书</w:t>
      </w:r>
    </w:p>
    <w:p>
      <w:pPr>
        <w:numPr>
          <w:ilvl w:val="0"/>
          <w:numId w:val="0"/>
        </w:num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附图（附所出租耕地的地块位置，并由承租人签名确认）</w:t>
      </w: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drawing>
          <wp:inline distT="0" distB="0" distL="114300" distR="114300">
            <wp:extent cx="5271770" cy="4491355"/>
            <wp:effectExtent l="0" t="0" r="5080" b="4445"/>
            <wp:docPr id="2" name="图片 2" descr="1695886610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95886610476"/>
                    <pic:cNvPicPr>
                      <a:picLocks noChangeAspect="1"/>
                    </pic:cNvPicPr>
                  </pic:nvPicPr>
                  <pic:blipFill>
                    <a:blip r:embed="rId6"/>
                    <a:stretch>
                      <a:fillRect/>
                    </a:stretch>
                  </pic:blipFill>
                  <pic:spPr>
                    <a:xfrm>
                      <a:off x="0" y="0"/>
                      <a:ext cx="5271770" cy="4491355"/>
                    </a:xfrm>
                    <a:prstGeom prst="rect">
                      <a:avLst/>
                    </a:prstGeom>
                  </pic:spPr>
                </pic:pic>
              </a:graphicData>
            </a:graphic>
          </wp:inline>
        </w:drawing>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附件2：承租人身份证复印件</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附件3：土地交接记录表</w:t>
      </w:r>
    </w:p>
    <w:p>
      <w:pPr>
        <w:jc w:val="center"/>
        <w:rPr>
          <w:rFonts w:hint="eastAsia"/>
          <w:b/>
          <w:sz w:val="36"/>
          <w:szCs w:val="36"/>
        </w:rPr>
      </w:pPr>
      <w:r>
        <w:rPr>
          <w:rFonts w:hint="eastAsia"/>
          <w:b/>
          <w:sz w:val="36"/>
          <w:szCs w:val="36"/>
        </w:rPr>
        <w:t>土地交接记录表</w:t>
      </w:r>
    </w:p>
    <w:p>
      <w:pPr>
        <w:rPr>
          <w:rFonts w:hint="eastAsia"/>
        </w:rPr>
      </w:pPr>
      <w:r>
        <w:rPr>
          <w:rFonts w:hint="eastAsia"/>
        </w:rPr>
        <w:t>垦区：</w:t>
      </w:r>
      <w:r>
        <w:rPr>
          <w:rFonts w:hint="eastAsia" w:ascii="宋体" w:hAnsi="宋体" w:cs="宋体"/>
          <w:kern w:val="0"/>
          <w:szCs w:val="21"/>
          <w:lang w:bidi="ar"/>
        </w:rPr>
        <w:t>沙尾垦区</w:t>
      </w:r>
      <w:r>
        <w:rPr>
          <w:rFonts w:hint="eastAsia"/>
        </w:rPr>
        <w:t xml:space="preserve">                                                  </w:t>
      </w:r>
    </w:p>
    <w:tbl>
      <w:tblPr>
        <w:tblStyle w:val="9"/>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szCs w:val="21"/>
              </w:rPr>
            </w:pPr>
            <w:r>
              <w:rPr>
                <w:rFonts w:hint="eastAsia"/>
                <w:szCs w:val="21"/>
              </w:rPr>
              <w:t>田号</w:t>
            </w:r>
          </w:p>
        </w:tc>
        <w:tc>
          <w:tcPr>
            <w:tcW w:w="1307" w:type="dxa"/>
            <w:vMerge w:val="restart"/>
            <w:noWrap w:val="0"/>
            <w:vAlign w:val="center"/>
          </w:tcPr>
          <w:p>
            <w:pPr>
              <w:jc w:val="center"/>
              <w:rPr>
                <w:rFonts w:hint="eastAsia"/>
                <w:szCs w:val="21"/>
              </w:rPr>
            </w:pPr>
            <w:r>
              <w:rPr>
                <w:rFonts w:hint="eastAsia"/>
                <w:szCs w:val="21"/>
              </w:rPr>
              <w:t>面积（亩）</w:t>
            </w:r>
          </w:p>
        </w:tc>
        <w:tc>
          <w:tcPr>
            <w:tcW w:w="6654" w:type="dxa"/>
            <w:gridSpan w:val="2"/>
            <w:noWrap w:val="0"/>
            <w:vAlign w:val="center"/>
          </w:tcPr>
          <w:p>
            <w:pPr>
              <w:jc w:val="center"/>
              <w:rPr>
                <w:rFonts w:hint="eastAsia"/>
                <w:szCs w:val="21"/>
              </w:rPr>
            </w:pPr>
            <w:r>
              <w:rPr>
                <w:rFonts w:hint="eastAsia"/>
                <w:szCs w:val="21"/>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szCs w:val="21"/>
              </w:rPr>
            </w:pPr>
          </w:p>
        </w:tc>
        <w:tc>
          <w:tcPr>
            <w:tcW w:w="1307" w:type="dxa"/>
            <w:vMerge w:val="continue"/>
            <w:noWrap w:val="0"/>
            <w:vAlign w:val="center"/>
          </w:tcPr>
          <w:p>
            <w:pPr>
              <w:jc w:val="center"/>
              <w:rPr>
                <w:rFonts w:hint="eastAsia"/>
                <w:szCs w:val="21"/>
              </w:rPr>
            </w:pPr>
          </w:p>
        </w:tc>
        <w:tc>
          <w:tcPr>
            <w:tcW w:w="3197" w:type="dxa"/>
            <w:noWrap w:val="0"/>
            <w:vAlign w:val="center"/>
          </w:tcPr>
          <w:p>
            <w:pPr>
              <w:jc w:val="center"/>
              <w:rPr>
                <w:rFonts w:hint="eastAsia"/>
                <w:szCs w:val="21"/>
              </w:rPr>
            </w:pPr>
            <w:r>
              <w:rPr>
                <w:rFonts w:hint="eastAsia"/>
                <w:szCs w:val="21"/>
              </w:rPr>
              <w:t>移交单位（部门）</w:t>
            </w:r>
          </w:p>
        </w:tc>
        <w:tc>
          <w:tcPr>
            <w:tcW w:w="3457" w:type="dxa"/>
            <w:noWrap w:val="0"/>
            <w:vAlign w:val="center"/>
          </w:tcPr>
          <w:p>
            <w:pPr>
              <w:jc w:val="center"/>
              <w:rPr>
                <w:rFonts w:hint="eastAsia"/>
                <w:szCs w:val="21"/>
              </w:rPr>
            </w:pPr>
            <w:r>
              <w:rPr>
                <w:rFonts w:hint="eastAsia"/>
                <w:szCs w:val="21"/>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420" w:type="dxa"/>
            <w:noWrap w:val="0"/>
            <w:vAlign w:val="center"/>
          </w:tcPr>
          <w:p>
            <w:pPr>
              <w:jc w:val="center"/>
              <w:rPr>
                <w:rFonts w:hint="eastAsia"/>
                <w:lang w:val="en-US" w:eastAsia="zh-CN"/>
              </w:rPr>
            </w:pPr>
          </w:p>
          <w:p>
            <w:pPr>
              <w:pStyle w:val="2"/>
              <w:rPr>
                <w:rFonts w:hint="default"/>
                <w:lang w:val="en-US" w:eastAsia="zh-CN"/>
              </w:rPr>
            </w:pPr>
          </w:p>
        </w:tc>
        <w:tc>
          <w:tcPr>
            <w:tcW w:w="1307" w:type="dxa"/>
            <w:noWrap w:val="0"/>
            <w:vAlign w:val="center"/>
          </w:tcPr>
          <w:p>
            <w:pPr>
              <w:jc w:val="center"/>
              <w:rPr>
                <w:rFonts w:hint="default" w:ascii="宋体" w:hAnsi="宋体" w:eastAsia="宋体" w:cs="宋体"/>
                <w:szCs w:val="21"/>
                <w:lang w:val="en-US" w:eastAsia="zh-CN"/>
              </w:rPr>
            </w:pPr>
          </w:p>
        </w:tc>
        <w:tc>
          <w:tcPr>
            <w:tcW w:w="3197" w:type="dxa"/>
            <w:noWrap w:val="0"/>
            <w:vAlign w:val="center"/>
          </w:tcPr>
          <w:p>
            <w:pPr>
              <w:jc w:val="center"/>
              <w:rPr>
                <w:rStyle w:val="12"/>
                <w:rFonts w:hint="eastAsia" w:ascii="宋体" w:hAnsi="宋体" w:cs="宋体"/>
                <w:i w:val="0"/>
                <w:color w:val="auto"/>
                <w:szCs w:val="21"/>
              </w:rPr>
            </w:pPr>
            <w:r>
              <w:rPr>
                <w:rStyle w:val="12"/>
                <w:rFonts w:hint="eastAsia" w:ascii="宋体" w:hAnsi="宋体" w:cs="宋体"/>
                <w:i w:val="0"/>
                <w:color w:val="auto"/>
                <w:szCs w:val="21"/>
              </w:rPr>
              <w:t>广州南沙现代农业产业集团</w:t>
            </w:r>
          </w:p>
          <w:p>
            <w:pPr>
              <w:jc w:val="center"/>
              <w:rPr>
                <w:rFonts w:hint="eastAsia" w:ascii="宋体" w:hAnsi="宋体" w:cs="宋体"/>
                <w:szCs w:val="21"/>
              </w:rPr>
            </w:pPr>
            <w:r>
              <w:rPr>
                <w:rStyle w:val="12"/>
                <w:rFonts w:hint="eastAsia" w:ascii="宋体" w:hAnsi="宋体" w:eastAsia="宋体" w:cs="宋体"/>
                <w:i w:val="0"/>
                <w:color w:val="auto"/>
                <w:szCs w:val="21"/>
                <w:lang w:val="en-US" w:eastAsia="zh-CN"/>
              </w:rPr>
              <w:t>有限</w:t>
            </w:r>
            <w:r>
              <w:rPr>
                <w:rStyle w:val="12"/>
                <w:rFonts w:hint="eastAsia" w:ascii="宋体" w:hAnsi="宋体" w:cs="宋体"/>
                <w:i w:val="0"/>
                <w:color w:val="auto"/>
                <w:szCs w:val="21"/>
              </w:rPr>
              <w:t>公司</w:t>
            </w:r>
          </w:p>
        </w:tc>
        <w:tc>
          <w:tcPr>
            <w:tcW w:w="3457" w:type="dxa"/>
            <w:noWrap w:val="0"/>
            <w:vAlign w:val="center"/>
          </w:tcPr>
          <w:p>
            <w:pPr>
              <w:jc w:val="center"/>
              <w:rPr>
                <w:rFonts w:hint="eastAsia" w:ascii="宋体" w:hAnsi="宋体" w:cs="宋体"/>
                <w:szCs w:val="21"/>
              </w:rPr>
            </w:pPr>
          </w:p>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szCs w:val="21"/>
              </w:rPr>
            </w:pPr>
            <w:r>
              <w:rPr>
                <w:rFonts w:hint="eastAsia"/>
                <w:szCs w:val="21"/>
              </w:rPr>
              <w:t>移交日期</w:t>
            </w:r>
          </w:p>
        </w:tc>
        <w:tc>
          <w:tcPr>
            <w:tcW w:w="3197" w:type="dxa"/>
            <w:noWrap w:val="0"/>
            <w:vAlign w:val="center"/>
          </w:tcPr>
          <w:p>
            <w:pPr>
              <w:jc w:val="center"/>
              <w:rPr>
                <w:rFonts w:hint="eastAsia"/>
                <w:szCs w:val="21"/>
              </w:rPr>
            </w:pPr>
            <w:r>
              <w:rPr>
                <w:rFonts w:hint="eastAsia"/>
                <w:szCs w:val="21"/>
              </w:rPr>
              <w:t>移交单位签名（盖章）</w:t>
            </w:r>
          </w:p>
        </w:tc>
        <w:tc>
          <w:tcPr>
            <w:tcW w:w="3457" w:type="dxa"/>
            <w:noWrap w:val="0"/>
            <w:vAlign w:val="center"/>
          </w:tcPr>
          <w:p>
            <w:pPr>
              <w:jc w:val="center"/>
              <w:rPr>
                <w:rFonts w:hint="eastAsia"/>
                <w:szCs w:val="21"/>
              </w:rPr>
            </w:pPr>
            <w:r>
              <w:rPr>
                <w:rFonts w:hint="eastAsia"/>
                <w:szCs w:val="21"/>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szCs w:val="21"/>
              </w:rPr>
            </w:pPr>
            <w:r>
              <w:rPr>
                <w:rFonts w:hint="eastAsia"/>
                <w:szCs w:val="21"/>
              </w:rPr>
              <w:t xml:space="preserve"> 202</w:t>
            </w:r>
            <w:r>
              <w:rPr>
                <w:rFonts w:hint="eastAsia"/>
                <w:szCs w:val="21"/>
                <w:lang w:val="en-US" w:eastAsia="zh-CN"/>
              </w:rPr>
              <w:t>3</w:t>
            </w:r>
            <w:r>
              <w:rPr>
                <w:rFonts w:hint="eastAsia"/>
                <w:szCs w:val="21"/>
              </w:rPr>
              <w:t>年*月*日</w:t>
            </w:r>
          </w:p>
        </w:tc>
        <w:tc>
          <w:tcPr>
            <w:tcW w:w="3197" w:type="dxa"/>
            <w:noWrap w:val="0"/>
            <w:vAlign w:val="center"/>
          </w:tcPr>
          <w:p>
            <w:pPr>
              <w:jc w:val="center"/>
              <w:rPr>
                <w:rFonts w:hint="eastAsia"/>
                <w:szCs w:val="21"/>
              </w:rPr>
            </w:pPr>
          </w:p>
        </w:tc>
        <w:tc>
          <w:tcPr>
            <w:tcW w:w="3457" w:type="dxa"/>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szCs w:val="21"/>
              </w:rPr>
            </w:pPr>
            <w:r>
              <w:rPr>
                <w:rFonts w:hint="eastAsia"/>
                <w:szCs w:val="21"/>
              </w:rPr>
              <w:t>说明：合同期限自签订土地移交记录表之日开始计算合同期。</w:t>
            </w:r>
          </w:p>
        </w:tc>
      </w:tr>
    </w:tbl>
    <w:p>
      <w:pPr>
        <w:ind w:firstLine="5880" w:firstLineChars="2800"/>
        <w:rPr>
          <w:rFonts w:hint="eastAsia"/>
        </w:rPr>
      </w:pPr>
    </w:p>
    <w:p>
      <w:pPr>
        <w:pStyle w:val="2"/>
        <w:numPr>
          <w:ilvl w:val="0"/>
          <w:numId w:val="0"/>
        </w:numPr>
        <w:jc w:val="left"/>
        <w:rPr>
          <w:rFonts w:hint="eastAsia"/>
        </w:rPr>
      </w:pPr>
      <w:r>
        <w:rPr>
          <w:rFonts w:hint="eastAsia"/>
        </w:rPr>
        <w:t>签订日期：202</w:t>
      </w:r>
      <w:r>
        <w:rPr>
          <w:rFonts w:hint="eastAsia"/>
          <w:lang w:val="en-US" w:eastAsia="zh-CN"/>
        </w:rPr>
        <w:t>3</w:t>
      </w:r>
      <w:r>
        <w:rPr>
          <w:rFonts w:hint="eastAsia"/>
        </w:rPr>
        <w:t>年*月*日</w:t>
      </w: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附件4：</w:t>
      </w:r>
    </w:p>
    <w:p>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果地下间3号田西侧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30.45亩</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土地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水产养殖 </w:t>
      </w:r>
      <w:r>
        <w:rPr>
          <w:rFonts w:hint="eastAsia" w:ascii="仿宋" w:hAnsi="仿宋" w:eastAsia="仿宋" w:cs="仿宋"/>
          <w:kern w:val="0"/>
          <w:sz w:val="28"/>
          <w:szCs w:val="28"/>
        </w:rPr>
        <w:t>使用，乙方负责承租使用期间的安全生产工作事宜。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023</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029</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pStyle w:val="2"/>
        <w:numPr>
          <w:ilvl w:val="0"/>
          <w:numId w:val="0"/>
        </w:numPr>
        <w:jc w:val="left"/>
        <w:rPr>
          <w:rFonts w:hint="default"/>
          <w:lang w:val="en-US" w:eastAsia="zh-CN"/>
        </w:rPr>
      </w:pPr>
      <w:r>
        <w:rPr>
          <w:rFonts w:hint="eastAsia" w:ascii="仿宋" w:hAnsi="仿宋" w:eastAsia="仿宋" w:cs="仿宋"/>
          <w:kern w:val="0"/>
          <w:sz w:val="28"/>
          <w:szCs w:val="28"/>
        </w:rPr>
        <w:t xml:space="preserve">      年   月   日                         年   月   日</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spacing w:line="360" w:lineRule="auto"/>
        <w:jc w:val="left"/>
        <w:rPr>
          <w:rFonts w:hint="eastAsia" w:ascii="仿宋" w:hAnsi="仿宋" w:eastAsia="仿宋" w:cs="仿宋"/>
          <w:sz w:val="28"/>
          <w:szCs w:val="28"/>
          <w:highlight w:val="none"/>
        </w:rPr>
      </w:pPr>
    </w:p>
    <w:p>
      <w:pPr>
        <w:rPr>
          <w:rFonts w:hint="eastAsia" w:ascii="仿宋" w:hAnsi="仿宋" w:eastAsia="仿宋" w:cs="仿宋"/>
          <w:sz w:val="28"/>
          <w:szCs w:val="28"/>
        </w:rPr>
      </w:pPr>
    </w:p>
    <w:sectPr>
      <w:headerReference r:id="rId3" w:type="default"/>
      <w:footerReference r:id="rId4" w:type="default"/>
      <w:pgSz w:w="11906" w:h="16838"/>
      <w:pgMar w:top="1327" w:right="1800" w:bottom="1327"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B048F6"/>
    <w:multiLevelType w:val="singleLevel"/>
    <w:tmpl w:val="E1B048F6"/>
    <w:lvl w:ilvl="0" w:tentative="0">
      <w:start w:val="2"/>
      <w:numFmt w:val="decimal"/>
      <w:lvlText w:val="%1."/>
      <w:lvlJc w:val="left"/>
      <w:pPr>
        <w:tabs>
          <w:tab w:val="left" w:pos="312"/>
        </w:tabs>
        <w:ind w:left="84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0356F6B"/>
    <w:rsid w:val="00A03FA1"/>
    <w:rsid w:val="017079B3"/>
    <w:rsid w:val="03E80C9F"/>
    <w:rsid w:val="04767992"/>
    <w:rsid w:val="061F3873"/>
    <w:rsid w:val="066610B7"/>
    <w:rsid w:val="085579A9"/>
    <w:rsid w:val="0ACA5258"/>
    <w:rsid w:val="0B0C0FD6"/>
    <w:rsid w:val="0B554D6A"/>
    <w:rsid w:val="0BB620E2"/>
    <w:rsid w:val="0C8C4BFE"/>
    <w:rsid w:val="0D982CD3"/>
    <w:rsid w:val="117C12DC"/>
    <w:rsid w:val="15930DD1"/>
    <w:rsid w:val="15D37506"/>
    <w:rsid w:val="1B187937"/>
    <w:rsid w:val="1C25502E"/>
    <w:rsid w:val="1D165010"/>
    <w:rsid w:val="1DDB740C"/>
    <w:rsid w:val="20407429"/>
    <w:rsid w:val="20A651E1"/>
    <w:rsid w:val="21171469"/>
    <w:rsid w:val="225232FE"/>
    <w:rsid w:val="22722E69"/>
    <w:rsid w:val="22BA1CF2"/>
    <w:rsid w:val="23C02F24"/>
    <w:rsid w:val="24932B1C"/>
    <w:rsid w:val="250E221A"/>
    <w:rsid w:val="26A66FF5"/>
    <w:rsid w:val="272B17D0"/>
    <w:rsid w:val="288307D3"/>
    <w:rsid w:val="29AF12FF"/>
    <w:rsid w:val="29D31DC1"/>
    <w:rsid w:val="2A39208F"/>
    <w:rsid w:val="2A4A1181"/>
    <w:rsid w:val="2A802A21"/>
    <w:rsid w:val="2E092CC8"/>
    <w:rsid w:val="2EC82790"/>
    <w:rsid w:val="2FB1598F"/>
    <w:rsid w:val="2FCB291A"/>
    <w:rsid w:val="30695C5F"/>
    <w:rsid w:val="307E086E"/>
    <w:rsid w:val="316303BB"/>
    <w:rsid w:val="32F51ACF"/>
    <w:rsid w:val="33C02E78"/>
    <w:rsid w:val="34EF731A"/>
    <w:rsid w:val="35894E7B"/>
    <w:rsid w:val="35E41242"/>
    <w:rsid w:val="35FE6AA0"/>
    <w:rsid w:val="362671D3"/>
    <w:rsid w:val="39D26FE1"/>
    <w:rsid w:val="3A655221"/>
    <w:rsid w:val="3A680906"/>
    <w:rsid w:val="3B754A06"/>
    <w:rsid w:val="3BED0E4A"/>
    <w:rsid w:val="3CA340C0"/>
    <w:rsid w:val="3CB7003F"/>
    <w:rsid w:val="40722BDD"/>
    <w:rsid w:val="407B09D6"/>
    <w:rsid w:val="420820B6"/>
    <w:rsid w:val="45854631"/>
    <w:rsid w:val="46BC5574"/>
    <w:rsid w:val="484B53C8"/>
    <w:rsid w:val="48D244F9"/>
    <w:rsid w:val="48E37317"/>
    <w:rsid w:val="4BB95EFF"/>
    <w:rsid w:val="4BD25789"/>
    <w:rsid w:val="4C367FA2"/>
    <w:rsid w:val="4C616DFB"/>
    <w:rsid w:val="4D46357B"/>
    <w:rsid w:val="4D492A9D"/>
    <w:rsid w:val="4DC309B4"/>
    <w:rsid w:val="4F0F57C1"/>
    <w:rsid w:val="4F16373B"/>
    <w:rsid w:val="4F9F52AC"/>
    <w:rsid w:val="4FCF1E7A"/>
    <w:rsid w:val="50ED33CA"/>
    <w:rsid w:val="52A50600"/>
    <w:rsid w:val="52BC45AD"/>
    <w:rsid w:val="53096B87"/>
    <w:rsid w:val="543E77AF"/>
    <w:rsid w:val="56000156"/>
    <w:rsid w:val="588342B0"/>
    <w:rsid w:val="59091D54"/>
    <w:rsid w:val="592070FF"/>
    <w:rsid w:val="5A543B8E"/>
    <w:rsid w:val="5AF44EBA"/>
    <w:rsid w:val="5C162550"/>
    <w:rsid w:val="5CB26696"/>
    <w:rsid w:val="5D684F06"/>
    <w:rsid w:val="5DDC7B72"/>
    <w:rsid w:val="5E0A648F"/>
    <w:rsid w:val="5F4B6D19"/>
    <w:rsid w:val="62C26454"/>
    <w:rsid w:val="63A9765D"/>
    <w:rsid w:val="648E5E2C"/>
    <w:rsid w:val="66A71CA1"/>
    <w:rsid w:val="66B4054A"/>
    <w:rsid w:val="66FA7B41"/>
    <w:rsid w:val="69065DC6"/>
    <w:rsid w:val="6AB12873"/>
    <w:rsid w:val="6B342C87"/>
    <w:rsid w:val="6D3D3F44"/>
    <w:rsid w:val="6D5773E3"/>
    <w:rsid w:val="6E9A2446"/>
    <w:rsid w:val="6EA575AF"/>
    <w:rsid w:val="6F2122D5"/>
    <w:rsid w:val="6F8C27AA"/>
    <w:rsid w:val="6FD065F1"/>
    <w:rsid w:val="70107E74"/>
    <w:rsid w:val="7019408F"/>
    <w:rsid w:val="70B12138"/>
    <w:rsid w:val="714A28DF"/>
    <w:rsid w:val="722320E9"/>
    <w:rsid w:val="730F709D"/>
    <w:rsid w:val="739B7F15"/>
    <w:rsid w:val="752A17C9"/>
    <w:rsid w:val="75E26E4E"/>
    <w:rsid w:val="787100BA"/>
    <w:rsid w:val="794975D9"/>
    <w:rsid w:val="7985440B"/>
    <w:rsid w:val="7A1048F4"/>
    <w:rsid w:val="7AD865E8"/>
    <w:rsid w:val="7C6918C4"/>
    <w:rsid w:val="7E8247FB"/>
    <w:rsid w:val="7ED11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annotation text"/>
    <w:basedOn w:val="1"/>
    <w:qFormat/>
    <w:uiPriority w:val="0"/>
    <w:pPr>
      <w:jc w:val="left"/>
    </w:pPr>
  </w:style>
  <w:style w:type="paragraph" w:styleId="4">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5">
    <w:name w:val="Body Text Indent 2"/>
    <w:basedOn w:val="1"/>
    <w:qFormat/>
    <w:uiPriority w:val="0"/>
    <w:pPr>
      <w:tabs>
        <w:tab w:val="left" w:pos="7560"/>
      </w:tabs>
      <w:ind w:firstLine="708"/>
    </w:pPr>
    <w:rPr>
      <w:rFonts w:ascii="仿宋_GB2312"/>
      <w:szCs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1">
    <w:name w:val="List Paragraph"/>
    <w:basedOn w:val="1"/>
    <w:qFormat/>
    <w:uiPriority w:val="0"/>
    <w:pPr>
      <w:ind w:firstLine="420" w:firstLineChars="200"/>
    </w:pPr>
    <w:rPr>
      <w:szCs w:val="22"/>
    </w:rPr>
  </w:style>
  <w:style w:type="character" w:customStyle="1" w:styleId="12">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5643</Words>
  <Characters>5756</Characters>
  <Lines>0</Lines>
  <Paragraphs>0</Paragraphs>
  <TotalTime>48</TotalTime>
  <ScaleCrop>false</ScaleCrop>
  <LinksUpToDate>false</LinksUpToDate>
  <CharactersWithSpaces>6147</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2020-09-14T01:43:00Z</dcterms:created>
  <dc:creator>fkhgbfw</dc:creator>
  <cp:lastModifiedBy>系统管理员</cp:lastModifiedBy>
  <cp:lastPrinted>2023-09-28T07:38:00Z</cp:lastPrinted>
  <dcterms:modified xsi:type="dcterms:W3CDTF">2023-10-08T03:20:53Z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AA8B244A98874210B96CAA227147D114_13</vt:lpwstr>
  </property>
  <property fmtid="{D5CDD505-2E9C-101B-9397-08002B2CF9AE}" pid="4" name="commondata">
    <vt:lpwstr>eyJoZGlkIjoiNGQ1MTcyNjc2MDI3ZGZkN2MwYzRhZjEyMDdkMzQ5ZGEifQ==</vt:lpwstr>
  </property>
</Properties>
</file>