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sz w:val="28"/>
          <w:szCs w:val="28"/>
          <w:highlight w:val="none"/>
        </w:rPr>
      </w:pPr>
      <w:r>
        <w:rPr>
          <w:rFonts w:hint="eastAsia" w:ascii="仿宋" w:hAnsi="仿宋" w:eastAsia="仿宋" w:cs="仿宋"/>
          <w:b/>
          <w:sz w:val="28"/>
          <w:szCs w:val="28"/>
          <w:highlight w:val="none"/>
        </w:rPr>
        <w:t>农 用 地 租 赁 合 同（耕地类）</w:t>
      </w:r>
    </w:p>
    <w:p>
      <w:pPr>
        <w:wordWrap w:val="0"/>
        <w:spacing w:line="360" w:lineRule="auto"/>
        <w:ind w:right="1120"/>
        <w:jc w:val="righ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钟惠彪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广州市南沙区珠江街新广五路英豪街1号</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一、出租耕地基本情况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 xml:space="preserve"> （详见附件附图） </w:t>
      </w:r>
      <w:r>
        <w:rPr>
          <w:rFonts w:hint="eastAsia" w:ascii="仿宋" w:hAnsi="仿宋" w:eastAsia="仿宋" w:cs="仿宋"/>
          <w:sz w:val="28"/>
          <w:szCs w:val="28"/>
          <w:highlight w:val="none"/>
        </w:rPr>
        <w:t>。</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09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091"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50"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p>
        </w:tc>
        <w:tc>
          <w:tcPr>
            <w:tcW w:w="2092" w:type="dxa"/>
            <w:noWrap w:val="0"/>
            <w:vAlign w:val="center"/>
          </w:tcPr>
          <w:p>
            <w:pPr>
              <w:spacing w:line="540" w:lineRule="exact"/>
              <w:jc w:val="center"/>
              <w:rPr>
                <w:rFonts w:hint="eastAsia" w:ascii="仿宋" w:hAnsi="仿宋" w:eastAsia="仿宋" w:cs="仿宋"/>
                <w:sz w:val="28"/>
                <w:szCs w:val="28"/>
                <w:highlight w:val="none"/>
              </w:rPr>
            </w:pPr>
          </w:p>
        </w:tc>
        <w:tc>
          <w:tcPr>
            <w:tcW w:w="2091" w:type="dxa"/>
            <w:noWrap w:val="0"/>
            <w:vAlign w:val="center"/>
          </w:tcPr>
          <w:p>
            <w:pPr>
              <w:spacing w:line="540" w:lineRule="exact"/>
              <w:jc w:val="center"/>
              <w:rPr>
                <w:rFonts w:hint="eastAsia" w:ascii="仿宋" w:hAnsi="仿宋" w:eastAsia="仿宋" w:cs="仿宋"/>
                <w:sz w:val="28"/>
                <w:szCs w:val="28"/>
                <w:highlight w:val="none"/>
              </w:rPr>
            </w:pPr>
          </w:p>
        </w:tc>
        <w:tc>
          <w:tcPr>
            <w:tcW w:w="1950" w:type="dxa"/>
            <w:noWrap w:val="0"/>
            <w:vAlign w:val="center"/>
          </w:tcPr>
          <w:p>
            <w:pPr>
              <w:spacing w:line="540" w:lineRule="exact"/>
              <w:jc w:val="center"/>
              <w:rPr>
                <w:rFonts w:hint="eastAsia" w:ascii="仿宋" w:hAnsi="仿宋" w:eastAsia="仿宋" w:cs="仿宋"/>
                <w:sz w:val="28"/>
                <w:szCs w:val="28"/>
                <w:highlight w:val="none"/>
              </w:rPr>
            </w:pPr>
          </w:p>
        </w:tc>
      </w:tr>
    </w:tbl>
    <w:p>
      <w:pPr>
        <w:spacing w:line="360" w:lineRule="auto"/>
        <w:ind w:firstLine="600"/>
        <w:rPr>
          <w:rFonts w:hint="eastAsia" w:ascii="仿宋" w:hAnsi="仿宋" w:eastAsia="仿宋" w:cs="仿宋"/>
          <w:color w:val="FF0000"/>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面积：</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.该</w:t>
      </w:r>
      <w:r>
        <w:rPr>
          <w:rFonts w:hint="eastAsia" w:ascii="仿宋" w:hAnsi="仿宋" w:eastAsia="仿宋" w:cs="仿宋"/>
          <w:sz w:val="28"/>
          <w:szCs w:val="28"/>
          <w:highlight w:val="none"/>
        </w:rPr>
        <w:t>耕地只能用于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农业</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，不能改变耕地用途和功能，乙方不能用作买卖、拍卖或抵押。耕地排灌情况乙方已经了解，并愿意承租，乙方承诺不向甲方追究因排灌问题而造成的任何损失。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2022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2028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四、耕地租金的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w:t>
      </w:r>
      <w:r>
        <w:rPr>
          <w:rFonts w:hint="eastAsia" w:ascii="仿宋_GB2312" w:hAnsi="仿宋_GB2312" w:eastAsia="仿宋_GB2312" w:cs="仿宋_GB2312"/>
          <w:kern w:val="0"/>
          <w:sz w:val="28"/>
          <w:szCs w:val="28"/>
          <w:lang w:val="en-US" w:eastAsia="zh-CN"/>
        </w:rPr>
        <w:t>日</w:t>
      </w:r>
      <w:r>
        <w:rPr>
          <w:rFonts w:hint="eastAsia" w:ascii="仿宋_GB2312" w:hAnsi="仿宋_GB2312" w:eastAsia="仿宋_GB2312" w:cs="仿宋_GB2312"/>
          <w:kern w:val="0"/>
          <w:sz w:val="28"/>
          <w:szCs w:val="28"/>
        </w:rPr>
        <w:t>按欠款额的</w:t>
      </w:r>
      <w:r>
        <w:rPr>
          <w:rFonts w:hint="eastAsia" w:ascii="仿宋_GB2312" w:hAnsi="仿宋_GB2312" w:eastAsia="仿宋_GB2312" w:cs="仿宋_GB2312"/>
          <w:kern w:val="0"/>
          <w:sz w:val="28"/>
          <w:szCs w:val="28"/>
          <w:lang w:val="en-US" w:eastAsia="zh-CN"/>
        </w:rPr>
        <w:t>1</w:t>
      </w:r>
      <w:r>
        <w:rPr>
          <w:rFonts w:hint="eastAsia" w:ascii="仿宋_GB2312" w:hAnsi="仿宋_GB2312" w:eastAsia="仿宋_GB2312" w:cs="仿宋_GB2312"/>
          <w:kern w:val="0"/>
          <w:sz w:val="28"/>
          <w:szCs w:val="28"/>
        </w:rPr>
        <w:t>‰计收</w:t>
      </w:r>
      <w:r>
        <w:rPr>
          <w:rFonts w:hint="eastAsia" w:ascii="仿宋_GB2312" w:hAnsi="仿宋_GB2312" w:eastAsia="仿宋_GB2312" w:cs="仿宋_GB2312"/>
          <w:kern w:val="0"/>
          <w:sz w:val="28"/>
          <w:szCs w:val="28"/>
          <w:lang w:val="en-US" w:eastAsia="zh-CN"/>
        </w:rPr>
        <w:t>逾期付款违约</w:t>
      </w:r>
      <w:r>
        <w:rPr>
          <w:rFonts w:hint="eastAsia" w:ascii="仿宋_GB2312" w:hAnsi="仿宋_GB2312" w:eastAsia="仿宋_GB2312" w:cs="仿宋_GB2312"/>
          <w:kern w:val="0"/>
          <w:sz w:val="28"/>
          <w:szCs w:val="28"/>
        </w:rPr>
        <w:t>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的，甲方有权单方解除合同，没收履约保证金，无条件收回耕地另行处置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五、履约保证金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z w:val="28"/>
          <w:szCs w:val="28"/>
          <w:highlight w:val="none"/>
        </w:rPr>
        <w:t>为了保证乙方严格履行本合同，乙方应在签订本合同后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500.00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元/亩的标准向甲方一次性缴纳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）的履约保证金。甲方待合同履行期满且乙方无违约行为的情况下不计息退还给乙方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w:t>
      </w:r>
      <w:r>
        <w:rPr>
          <w:rFonts w:hint="eastAsia" w:ascii="仿宋" w:hAnsi="仿宋" w:eastAsia="仿宋" w:cs="仿宋"/>
          <w:sz w:val="28"/>
          <w:szCs w:val="28"/>
          <w:highlight w:val="none"/>
        </w:rPr>
        <w:t>解除本合同，</w:t>
      </w:r>
      <w:r>
        <w:rPr>
          <w:rFonts w:hint="eastAsia" w:ascii="仿宋" w:hAnsi="仿宋" w:eastAsia="仿宋" w:cs="仿宋"/>
          <w:sz w:val="28"/>
          <w:szCs w:val="28"/>
          <w:highlight w:val="none"/>
          <w:lang w:val="en-US" w:eastAsia="zh-CN"/>
        </w:rPr>
        <w:t>并有权</w:t>
      </w:r>
      <w:r>
        <w:rPr>
          <w:rFonts w:hint="eastAsia" w:ascii="仿宋" w:hAnsi="仿宋" w:eastAsia="仿宋" w:cs="仿宋"/>
          <w:sz w:val="28"/>
          <w:szCs w:val="28"/>
          <w:highlight w:val="none"/>
        </w:rPr>
        <w:t>将本合同所涉及的耕地另行处置。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经甲方书面同意，乙方向有关部门办理申请审批手续后，乙方可在租赁耕地范围内建设安装水、电、道路、排灌等配套设施，乙方应负责依法报批、建设、管理及维护工作。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如乙方基于耕地的改良，需要筑基种植莲藕等水生作物的，须经得甲方书面同意</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乙方如需在所租赁耕地上进行畜禽养殖，必须征得甲方书面同意并报甲方备案，甲方同意后，乙方需自行向有关部门办理有关证照手续。</w:t>
      </w:r>
    </w:p>
    <w:p>
      <w:pPr>
        <w:numPr>
          <w:ilvl w:val="-1"/>
          <w:numId w:val="0"/>
        </w:numPr>
        <w:tabs>
          <w:tab w:val="left" w:pos="7560"/>
        </w:tabs>
        <w:spacing w:line="500" w:lineRule="auto"/>
        <w:ind w:firstLine="640"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w:t>
      </w:r>
      <w:r>
        <w:rPr>
          <w:rFonts w:hint="eastAsia" w:ascii="仿宋" w:hAnsi="仿宋" w:eastAsia="仿宋" w:cs="仿宋"/>
          <w:sz w:val="28"/>
          <w:szCs w:val="28"/>
          <w:highlight w:val="none"/>
          <w:lang w:val="en-US" w:eastAsia="zh-CN"/>
        </w:rPr>
        <w:t>种</w:t>
      </w:r>
      <w:r>
        <w:rPr>
          <w:rFonts w:hint="eastAsia" w:ascii="仿宋" w:hAnsi="仿宋" w:eastAsia="仿宋" w:cs="仿宋"/>
          <w:sz w:val="28"/>
          <w:szCs w:val="28"/>
          <w:highlight w:val="none"/>
        </w:rPr>
        <w:t>殖种类，自行做好相关生产的安排及计划，确保在合同期限届满时如期将</w:t>
      </w:r>
      <w:r>
        <w:rPr>
          <w:rFonts w:hint="eastAsia" w:ascii="仿宋" w:hAnsi="仿宋" w:eastAsia="仿宋" w:cs="仿宋"/>
          <w:sz w:val="28"/>
          <w:szCs w:val="28"/>
          <w:highlight w:val="none"/>
          <w:lang w:val="en-US" w:eastAsia="zh-CN"/>
        </w:rPr>
        <w:t>耕地</w:t>
      </w:r>
      <w:r>
        <w:rPr>
          <w:rFonts w:hint="eastAsia" w:ascii="仿宋" w:hAnsi="仿宋" w:eastAsia="仿宋" w:cs="仿宋"/>
          <w:sz w:val="28"/>
          <w:szCs w:val="28"/>
          <w:highlight w:val="none"/>
        </w:rPr>
        <w:t>交还甲方。</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10.合同期内，乙方不得擅自将耕地的全部或部分转租或提供给他人使用。如因特殊情况需要转租的，须经甲方书面同意。</w:t>
      </w:r>
    </w:p>
    <w:p>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乙方须监管所租赁耕地的公共设施（如道路、排灌、电力等），并积极做好日常管理工作。合同期内公共设施由甲、乙双方共同使用。</w:t>
      </w:r>
    </w:p>
    <w:p>
      <w:pPr>
        <w:numPr>
          <w:ilvl w:val="-1"/>
          <w:numId w:val="0"/>
        </w:num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乙方不得以自然灾害受损为由拒交租金。</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乙方应按合同约定的用途使用耕地，未经甲方书面同意不得挪作他用，且不得闲置、丢荒。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合同期内，如乙方给耕地造成损害的，乙方应自行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并承担修复费用。如乙方给耕地造成永久性损害的，乙方应承担全部赔偿责任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如乙方对耕地的损害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乙方必须服从甲方的农田标准化改造规划和安排，配合甲方对所租赁耕地进行农田标准化建设。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在合同期满或合同解除时，甲方无须通知乙方，乙方须清场并交回耕地给甲方，并由甲方工作人员验收。</w:t>
      </w:r>
    </w:p>
    <w:p>
      <w:pPr>
        <w:spacing w:line="360" w:lineRule="auto"/>
        <w:ind w:firstLine="60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清场交回耕地的，视为乙方放弃耕地上的相关农作物及设施等的所有权，甲方有权处置，甲方可自行采取强制清场措施收回耕地另行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此外，乙方应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（1）乙方不得使用水产养殖</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其它种养禁用的药物及农药，经监管部门或其授权的单位检测质量不合格产品，</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应无条件销毁</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2）乙方的种植、养殖等生产活动中不得对耕地及周边区域和居民生活区造成环境污染。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（1）未经甲方同意，擅自土地改变性质和用途</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（4）未经甲方</w:t>
      </w:r>
      <w:r>
        <w:rPr>
          <w:rFonts w:hint="eastAsia" w:ascii="仿宋" w:hAnsi="仿宋" w:eastAsia="仿宋" w:cs="仿宋"/>
          <w:sz w:val="28"/>
          <w:szCs w:val="28"/>
          <w:highlight w:val="none"/>
        </w:rPr>
        <w:t>书面同意擅自将耕地的全部或部分转租或提供给他人使用的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（7）乙方给耕地造成损害未及时修复或给耕地造成永久性损害的；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配合甲方对所租赁耕地进行农田标准化建设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pStyle w:val="5"/>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甲方应配合政府职能部门做好租赁耕地外围水利堤坝的建设、管理和维护工作，乙方应给予相应的配合。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合同期满，租赁范围的用水、用电、道路等基础设施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耕地的，甲方应提前15</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未按退场通知交还耕地的，属于违约，甲方有权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无条件收回耕地，并向乙方追偿甲方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2.乙方在收到甲方通知后30日内仍不退场交地的，</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乙方未经合法手续擅自搭建的设施</w:t>
      </w:r>
      <w:r>
        <w:rPr>
          <w:rFonts w:hint="eastAsia" w:ascii="仿宋" w:hAnsi="仿宋" w:eastAsia="仿宋" w:cs="仿宋"/>
          <w:sz w:val="28"/>
          <w:szCs w:val="28"/>
          <w:highlight w:val="none"/>
          <w:lang w:val="en-US" w:eastAsia="zh-CN"/>
        </w:rPr>
        <w:t>、设备</w:t>
      </w:r>
      <w:r>
        <w:rPr>
          <w:rFonts w:hint="eastAsia" w:ascii="仿宋" w:hAnsi="仿宋" w:eastAsia="仿宋" w:cs="仿宋"/>
          <w:sz w:val="28"/>
          <w:szCs w:val="28"/>
          <w:highlight w:val="none"/>
        </w:rPr>
        <w:t>，以及非乙方出资建设的设施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，乙方无权要求补偿。</w:t>
      </w:r>
      <w:r>
        <w:rPr>
          <w:rFonts w:hint="eastAsia" w:ascii="仿宋" w:hAnsi="仿宋" w:eastAsia="仿宋" w:cs="仿宋"/>
          <w:kern w:val="0"/>
          <w:sz w:val="28"/>
          <w:szCs w:val="28"/>
          <w:u w:val="single"/>
        </w:rPr>
        <w:t>租赁期内如遇政府征收补偿，</w:t>
      </w:r>
      <w:r>
        <w:rPr>
          <w:rFonts w:hint="eastAsia" w:ascii="仿宋" w:hAnsi="仿宋" w:eastAsia="仿宋" w:cs="仿宋"/>
          <w:sz w:val="28"/>
          <w:szCs w:val="28"/>
          <w:u w:val="single"/>
        </w:rPr>
        <w:t>租赁红线范围外面积的青苗及地上附着物补偿款归</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 xml:space="preserve">方所有，租赁红线范围内面积的青苗及地上附着物补偿款按如下规定执行： </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各收取50%；项目用地红线范围外，受影响鱼塘青苗及地上附着物补偿由</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方收取；</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u w:val="single"/>
        </w:rPr>
        <w:t>（3）高压线路征收，线行影响用地青苗补偿，</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方和</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color w:val="000000"/>
          <w:sz w:val="28"/>
          <w:szCs w:val="28"/>
          <w:highlight w:val="none"/>
        </w:rPr>
        <w:t>，均由违约方承担。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 xml:space="preserve"> 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val="en-US" w:eastAsia="zh-CN"/>
        </w:rPr>
        <w:t>农业农村</w:t>
      </w:r>
      <w:r>
        <w:rPr>
          <w:rFonts w:hint="eastAsia" w:ascii="仿宋" w:hAnsi="仿宋" w:eastAsia="仿宋" w:cs="仿宋"/>
          <w:sz w:val="28"/>
          <w:szCs w:val="28"/>
          <w:highlight w:val="none"/>
        </w:rPr>
        <w:t>局留存壹份备案，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spacing w:line="360" w:lineRule="auto"/>
        <w:ind w:firstLine="570"/>
        <w:jc w:val="left"/>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十五</w:t>
      </w:r>
      <w:r>
        <w:rPr>
          <w:rFonts w:hint="eastAsia" w:ascii="仿宋" w:hAnsi="仿宋" w:eastAsia="仿宋" w:cs="仿宋"/>
          <w:b/>
          <w:color w:val="000000"/>
          <w:sz w:val="28"/>
          <w:szCs w:val="28"/>
          <w:highlight w:val="none"/>
        </w:rPr>
        <w:t xml:space="preserve">、 </w:t>
      </w: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授权代表（签名）：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授权代表（签名）：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ind w:firstLine="0"/>
        <w:rPr>
          <w:rFonts w:hint="eastAsia" w:ascii="仿宋" w:hAnsi="仿宋" w:eastAsia="仿宋" w:cs="仿宋"/>
          <w:sz w:val="28"/>
          <w:szCs w:val="28"/>
          <w:highlight w:val="none"/>
          <w:lang w:val="en-US" w:eastAsia="zh-CN"/>
        </w:rPr>
      </w:pPr>
    </w:p>
    <w:p>
      <w:pPr>
        <w:spacing w:line="360" w:lineRule="auto"/>
        <w:ind w:firstLine="135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合同签订日期：       年    月    日 </w:t>
      </w: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0"/>
          <w:numId w:val="1"/>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承租人身份证复印件</w:t>
      </w:r>
    </w:p>
    <w:p>
      <w:pPr>
        <w:numPr>
          <w:ilvl w:val="0"/>
          <w:numId w:val="1"/>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附图（附所出租耕地的地块位置，并由承租人签名确认）</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附件2：承租人身份证复印件</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rPr>
        <w:t xml:space="preserve">                                                  </w:t>
      </w:r>
    </w:p>
    <w:tbl>
      <w:tblPr>
        <w:tblStyle w:val="9"/>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center"/>
          </w:tcPr>
          <w:p>
            <w:pPr>
              <w:jc w:val="center"/>
              <w:rPr>
                <w:rFonts w:hint="eastAsia"/>
                <w:lang w:val="en-US" w:eastAsia="zh-CN"/>
              </w:rPr>
            </w:pPr>
          </w:p>
          <w:p>
            <w:pPr>
              <w:pStyle w:val="2"/>
              <w:rPr>
                <w:rFonts w:hint="default"/>
                <w:lang w:val="en-US" w:eastAsia="zh-CN"/>
              </w:rPr>
            </w:pPr>
          </w:p>
        </w:tc>
        <w:tc>
          <w:tcPr>
            <w:tcW w:w="1307" w:type="dxa"/>
            <w:noWrap w:val="0"/>
            <w:vAlign w:val="center"/>
          </w:tcPr>
          <w:p>
            <w:pPr>
              <w:jc w:val="center"/>
              <w:rPr>
                <w:rFonts w:hint="default" w:ascii="宋体" w:hAnsi="宋体" w:eastAsia="宋体" w:cs="宋体"/>
                <w:szCs w:val="21"/>
                <w:lang w:val="en-US" w:eastAsia="zh-CN"/>
              </w:rPr>
            </w:pPr>
            <w:bookmarkStart w:id="0" w:name="_GoBack"/>
            <w:bookmarkEnd w:id="0"/>
          </w:p>
        </w:tc>
        <w:tc>
          <w:tcPr>
            <w:tcW w:w="3197" w:type="dxa"/>
            <w:noWrap w:val="0"/>
            <w:vAlign w:val="center"/>
          </w:tcPr>
          <w:p>
            <w:pPr>
              <w:jc w:val="center"/>
              <w:rPr>
                <w:rStyle w:val="12"/>
                <w:rFonts w:hint="eastAsia" w:ascii="宋体" w:hAnsi="宋体" w:cs="宋体"/>
                <w:i w:val="0"/>
                <w:color w:val="auto"/>
                <w:szCs w:val="21"/>
              </w:rPr>
            </w:pPr>
            <w:r>
              <w:rPr>
                <w:rStyle w:val="12"/>
                <w:rFonts w:hint="eastAsia" w:ascii="宋体" w:hAnsi="宋体" w:cs="宋体"/>
                <w:i w:val="0"/>
                <w:color w:val="auto"/>
                <w:szCs w:val="21"/>
              </w:rPr>
              <w:t>广州南沙现代农业产业集团</w:t>
            </w:r>
          </w:p>
          <w:p>
            <w:pPr>
              <w:jc w:val="center"/>
              <w:rPr>
                <w:rFonts w:hint="eastAsia" w:ascii="宋体" w:hAnsi="宋体" w:cs="宋体"/>
                <w:szCs w:val="21"/>
              </w:rPr>
            </w:pPr>
            <w:r>
              <w:rPr>
                <w:rStyle w:val="12"/>
                <w:rFonts w:hint="eastAsia" w:ascii="宋体" w:hAnsi="宋体" w:eastAsia="宋体" w:cs="宋体"/>
                <w:i w:val="0"/>
                <w:color w:val="auto"/>
                <w:szCs w:val="21"/>
                <w:lang w:val="en-US" w:eastAsia="zh-CN"/>
              </w:rPr>
              <w:t>有限</w:t>
            </w:r>
            <w:r>
              <w:rPr>
                <w:rStyle w:val="12"/>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2</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pPr>
        <w:pStyle w:val="2"/>
        <w:numPr>
          <w:ilvl w:val="0"/>
          <w:numId w:val="0"/>
        </w:numPr>
        <w:jc w:val="left"/>
        <w:rPr>
          <w:rFonts w:hint="default" w:ascii="仿宋" w:hAnsi="仿宋" w:eastAsia="仿宋" w:cs="仿宋"/>
          <w:sz w:val="28"/>
          <w:szCs w:val="28"/>
          <w:lang w:val="en-US" w:eastAsia="zh-CN"/>
        </w:rPr>
      </w:pPr>
      <w:r>
        <w:rPr>
          <w:rFonts w:hint="eastAsia"/>
        </w:rPr>
        <w:t>签订日期：202</w:t>
      </w:r>
      <w:r>
        <w:rPr>
          <w:rFonts w:hint="eastAsia"/>
          <w:lang w:val="en-US" w:eastAsia="zh-CN"/>
        </w:rPr>
        <w:t>2</w:t>
      </w:r>
      <w:r>
        <w:rPr>
          <w:rFonts w:hint="eastAsia"/>
        </w:rPr>
        <w:t>年*月*日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p>
    <w:p>
      <w:pPr>
        <w:rPr>
          <w:rFonts w:hint="eastAsia" w:ascii="仿宋" w:hAnsi="仿宋" w:eastAsia="仿宋" w:cs="仿宋"/>
          <w:sz w:val="28"/>
          <w:szCs w:val="28"/>
        </w:rPr>
      </w:pPr>
    </w:p>
    <w:sectPr>
      <w:headerReference r:id="rId3" w:type="default"/>
      <w:footerReference r:id="rId4" w:type="default"/>
      <w:pgSz w:w="11906" w:h="16838"/>
      <w:pgMar w:top="1327"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B048F6"/>
    <w:multiLevelType w:val="singleLevel"/>
    <w:tmpl w:val="E1B048F6"/>
    <w:lvl w:ilvl="0" w:tentative="0">
      <w:start w:val="2"/>
      <w:numFmt w:val="decimal"/>
      <w:lvlText w:val="%1."/>
      <w:lvlJc w:val="left"/>
      <w:pPr>
        <w:tabs>
          <w:tab w:val="left" w:pos="312"/>
        </w:tabs>
        <w:ind w:left="84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1MTcyNjc2MDI3ZGZkN2MwYzRhZjEyMDdkMzQ5ZGEifQ=="/>
  </w:docVars>
  <w:rsids>
    <w:rsidRoot w:val="00000000"/>
    <w:rsid w:val="00356F6B"/>
    <w:rsid w:val="00A03FA1"/>
    <w:rsid w:val="017079B3"/>
    <w:rsid w:val="03E80C9F"/>
    <w:rsid w:val="04767992"/>
    <w:rsid w:val="061F3873"/>
    <w:rsid w:val="066610B7"/>
    <w:rsid w:val="0ACA5258"/>
    <w:rsid w:val="0B0C0FD6"/>
    <w:rsid w:val="0B554D6A"/>
    <w:rsid w:val="0BB620E2"/>
    <w:rsid w:val="0C8C4BFE"/>
    <w:rsid w:val="0D982CD3"/>
    <w:rsid w:val="117C12DC"/>
    <w:rsid w:val="15930DD1"/>
    <w:rsid w:val="15D37506"/>
    <w:rsid w:val="1B187937"/>
    <w:rsid w:val="1C25502E"/>
    <w:rsid w:val="1D165010"/>
    <w:rsid w:val="1DDB740C"/>
    <w:rsid w:val="20407429"/>
    <w:rsid w:val="20A651E1"/>
    <w:rsid w:val="21171469"/>
    <w:rsid w:val="225232FE"/>
    <w:rsid w:val="22722E69"/>
    <w:rsid w:val="23C02F24"/>
    <w:rsid w:val="24932B1C"/>
    <w:rsid w:val="250E221A"/>
    <w:rsid w:val="26A66FF5"/>
    <w:rsid w:val="272B17D0"/>
    <w:rsid w:val="288307D3"/>
    <w:rsid w:val="29AF12FF"/>
    <w:rsid w:val="29D31DC1"/>
    <w:rsid w:val="2A39208F"/>
    <w:rsid w:val="2A4A1181"/>
    <w:rsid w:val="2A802A21"/>
    <w:rsid w:val="2E092CC8"/>
    <w:rsid w:val="2EC82790"/>
    <w:rsid w:val="2FB1598F"/>
    <w:rsid w:val="2FCB291A"/>
    <w:rsid w:val="30695C5F"/>
    <w:rsid w:val="307E086E"/>
    <w:rsid w:val="316303BB"/>
    <w:rsid w:val="32F51ACF"/>
    <w:rsid w:val="33C02E78"/>
    <w:rsid w:val="34EF731A"/>
    <w:rsid w:val="35894E7B"/>
    <w:rsid w:val="35E41242"/>
    <w:rsid w:val="35FE6AA0"/>
    <w:rsid w:val="362671D3"/>
    <w:rsid w:val="39D26FE1"/>
    <w:rsid w:val="3A655221"/>
    <w:rsid w:val="3A680906"/>
    <w:rsid w:val="3B754A06"/>
    <w:rsid w:val="3BED0E4A"/>
    <w:rsid w:val="3CA340C0"/>
    <w:rsid w:val="3CB7003F"/>
    <w:rsid w:val="40722BDD"/>
    <w:rsid w:val="407B09D6"/>
    <w:rsid w:val="420820B6"/>
    <w:rsid w:val="46BC5574"/>
    <w:rsid w:val="484B53C8"/>
    <w:rsid w:val="48D244F9"/>
    <w:rsid w:val="48E37317"/>
    <w:rsid w:val="4BB95EFF"/>
    <w:rsid w:val="4BD25789"/>
    <w:rsid w:val="4C367FA2"/>
    <w:rsid w:val="4C616DFB"/>
    <w:rsid w:val="4D46357B"/>
    <w:rsid w:val="4D492A9D"/>
    <w:rsid w:val="4DC309B4"/>
    <w:rsid w:val="4F0F57C1"/>
    <w:rsid w:val="4F16373B"/>
    <w:rsid w:val="4FCF1E7A"/>
    <w:rsid w:val="50ED33CA"/>
    <w:rsid w:val="52A50600"/>
    <w:rsid w:val="52BC45AD"/>
    <w:rsid w:val="543E77AF"/>
    <w:rsid w:val="56000156"/>
    <w:rsid w:val="588342B0"/>
    <w:rsid w:val="59091D54"/>
    <w:rsid w:val="5A543B8E"/>
    <w:rsid w:val="5AF44EBA"/>
    <w:rsid w:val="5C162550"/>
    <w:rsid w:val="5CB26696"/>
    <w:rsid w:val="5D684F06"/>
    <w:rsid w:val="5DDC7B72"/>
    <w:rsid w:val="5E0A648F"/>
    <w:rsid w:val="5F4B6D19"/>
    <w:rsid w:val="62C26454"/>
    <w:rsid w:val="63A9765D"/>
    <w:rsid w:val="648E5E2C"/>
    <w:rsid w:val="66A71CA1"/>
    <w:rsid w:val="66B4054A"/>
    <w:rsid w:val="66FA7B41"/>
    <w:rsid w:val="69065DC6"/>
    <w:rsid w:val="6AB12873"/>
    <w:rsid w:val="6B342C87"/>
    <w:rsid w:val="6D3D3F44"/>
    <w:rsid w:val="6D5773E3"/>
    <w:rsid w:val="6E9A2446"/>
    <w:rsid w:val="6EA575AF"/>
    <w:rsid w:val="6F2122D5"/>
    <w:rsid w:val="6F8C27AA"/>
    <w:rsid w:val="6FD065F1"/>
    <w:rsid w:val="70107E74"/>
    <w:rsid w:val="7019408F"/>
    <w:rsid w:val="70B12138"/>
    <w:rsid w:val="714A28DF"/>
    <w:rsid w:val="722320E9"/>
    <w:rsid w:val="730F709D"/>
    <w:rsid w:val="739B7F15"/>
    <w:rsid w:val="752A17C9"/>
    <w:rsid w:val="75E26E4E"/>
    <w:rsid w:val="794975D9"/>
    <w:rsid w:val="7985440B"/>
    <w:rsid w:val="7A1048F4"/>
    <w:rsid w:val="7AD865E8"/>
    <w:rsid w:val="7C6918C4"/>
    <w:rsid w:val="7E8247FB"/>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qFormat/>
    <w:uiPriority w:val="0"/>
    <w:pPr>
      <w:jc w:val="left"/>
    </w:pPr>
  </w:style>
  <w:style w:type="paragraph" w:styleId="4">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5">
    <w:name w:val="Body Text Indent 2"/>
    <w:basedOn w:val="1"/>
    <w:qFormat/>
    <w:uiPriority w:val="0"/>
    <w:pPr>
      <w:tabs>
        <w:tab w:val="left" w:pos="7560"/>
      </w:tabs>
      <w:ind w:firstLine="708"/>
    </w:pPr>
    <w:rPr>
      <w:rFonts w:ascii="仿宋_GB231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List Paragraph"/>
    <w:basedOn w:val="1"/>
    <w:qFormat/>
    <w:uiPriority w:val="0"/>
    <w:pPr>
      <w:ind w:firstLine="420" w:firstLineChars="200"/>
    </w:pPr>
    <w:rPr>
      <w:szCs w:val="22"/>
    </w:rPr>
  </w:style>
  <w:style w:type="character" w:customStyle="1" w:styleId="12">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5643</Words>
  <Characters>5756</Characters>
  <Lines>0</Lines>
  <Paragraphs>0</Paragraphs>
  <TotalTime>41</TotalTime>
  <ScaleCrop>false</ScaleCrop>
  <LinksUpToDate>false</LinksUpToDate>
  <CharactersWithSpaces>6147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creator>fkhgbfw</dc:creator>
  <cp:lastModifiedBy>My destiny,루한</cp:lastModifiedBy>
  <dcterms:modified xsi:type="dcterms:W3CDTF">2022-05-19T08:57:23Z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427E57B56C8F4F13AF37149FEC25534C</vt:lpwstr>
  </property>
  <property fmtid="{D5CDD505-2E9C-101B-9397-08002B2CF9AE}" pid="4" name="commondata">
    <vt:lpwstr>eyJoZGlkIjoiNGQ1MTcyNjc2MDI3ZGZkN2MwYzRhZjEyMDdkMzQ5ZGEifQ==</vt:lpwstr>
  </property>
</Properties>
</file>